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9" w:rsidRPr="007738F7" w:rsidRDefault="00AA05E9" w:rsidP="000D7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proofErr w:type="gramStart"/>
      <w:r w:rsidRPr="007738F7">
        <w:rPr>
          <w:rFonts w:ascii="Arial" w:hAnsi="Arial" w:cs="Arial"/>
          <w:b/>
          <w:color w:val="000000"/>
          <w:sz w:val="22"/>
          <w:szCs w:val="22"/>
        </w:rPr>
        <w:t>Чи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зобов’язані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суб’єкти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господарювання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застосовувати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РРО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або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ПРРО при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здійсненні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розрахунків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у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безготівковій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738F7">
        <w:rPr>
          <w:rFonts w:ascii="Arial" w:hAnsi="Arial" w:cs="Arial"/>
          <w:b/>
          <w:color w:val="000000"/>
          <w:sz w:val="22"/>
          <w:szCs w:val="22"/>
        </w:rPr>
        <w:t>формі</w:t>
      </w:r>
      <w:proofErr w:type="spellEnd"/>
      <w:r w:rsidRPr="007738F7">
        <w:rPr>
          <w:rFonts w:ascii="Arial" w:hAnsi="Arial" w:cs="Arial"/>
          <w:b/>
          <w:color w:val="000000"/>
          <w:sz w:val="22"/>
          <w:szCs w:val="22"/>
        </w:rPr>
        <w:t> </w:t>
      </w:r>
      <w:r w:rsidRPr="007738F7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через установи банку</w:t>
      </w:r>
      <w:r w:rsidRPr="007738F7">
        <w:rPr>
          <w:rFonts w:ascii="Arial" w:hAnsi="Arial" w:cs="Arial"/>
          <w:b/>
          <w:color w:val="000000"/>
          <w:sz w:val="22"/>
          <w:szCs w:val="22"/>
        </w:rPr>
        <w:t>?</w:t>
      </w:r>
      <w:proofErr w:type="gramEnd"/>
    </w:p>
    <w:p w:rsidR="000D72EC" w:rsidRPr="007738F7" w:rsidRDefault="000D72EC" w:rsidP="000D7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/>
        </w:rPr>
      </w:pPr>
    </w:p>
    <w:p w:rsidR="000D72EC" w:rsidRDefault="007738F7" w:rsidP="000D7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noProof/>
        </w:rPr>
        <w:drawing>
          <wp:inline distT="0" distB="0" distL="0" distR="0">
            <wp:extent cx="4863051" cy="2913939"/>
            <wp:effectExtent l="19050" t="0" r="0" b="0"/>
            <wp:docPr id="1" name="Рисунок 1" descr="Як зареєструвати програмний РРО? - LexInform: Правові та юридичні новини,  юридична практика, комента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ареєструвати програмний РРО? - LexInform: Правові та юридичні новини,  юридична практика, коментар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05" cy="29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EC" w:rsidRDefault="000D72EC" w:rsidP="000D7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AA05E9" w:rsidRPr="005C1A53" w:rsidRDefault="000D72EC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5C1A53">
        <w:rPr>
          <w:rFonts w:ascii="Arial" w:hAnsi="Arial" w:cs="Arial"/>
          <w:color w:val="000000"/>
          <w:sz w:val="22"/>
          <w:szCs w:val="22"/>
          <w:lang w:val="uk-UA"/>
        </w:rPr>
        <w:t>Головне управління ДПС у Харківській області повідомляє, що в</w:t>
      </w:r>
      <w:r w:rsidR="00AA05E9" w:rsidRPr="005C1A53">
        <w:rPr>
          <w:rFonts w:ascii="Arial" w:hAnsi="Arial" w:cs="Arial"/>
          <w:color w:val="000000"/>
          <w:sz w:val="22"/>
          <w:szCs w:val="22"/>
          <w:lang w:val="uk-UA"/>
        </w:rPr>
        <w:t>ідповідно до п. 1 ст. 3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проводити розрахункові операції на повну суму покупки (надання послуги) через зареєстровані, опломбовані у встановленому порядку та переведені у фіскальний режим роботи реєстратори розрахункових операцій (далі – РРО) або через зареєстровані фіскальним сервером контролюючого органу програмні РРО (далі – ПРРО) зі створенням у паперовій та/або електронній формі відповідних розрахункових документів, що підтверджують виконання розрахункових операцій, або у випадках, передбачених Законом № 265, із застосуванням зареєстрованих у встановленому порядку розрахункових книжок.</w:t>
      </w:r>
    </w:p>
    <w:p w:rsidR="00AA05E9" w:rsidRPr="005C1A53" w:rsidRDefault="00AA05E9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A53">
        <w:rPr>
          <w:rFonts w:ascii="Arial" w:hAnsi="Arial" w:cs="Arial"/>
          <w:color w:val="000000"/>
          <w:sz w:val="22"/>
          <w:szCs w:val="22"/>
          <w:lang w:val="uk-UA"/>
        </w:rPr>
        <w:t>Згідно з п. 1.4 глави 1 Інструкції про безготівкові розрахунки в Україні в національній валюті, затвердженої постановою Правління Національного банку України від 21 січня 2004 року № 22 із змінами та доповненнями,</w:t>
      </w:r>
      <w:r w:rsidRPr="005C1A53">
        <w:rPr>
          <w:rFonts w:ascii="Arial" w:hAnsi="Arial" w:cs="Arial"/>
          <w:color w:val="000000"/>
          <w:sz w:val="22"/>
          <w:szCs w:val="22"/>
        </w:rPr>
        <w:t> </w:t>
      </w:r>
      <w:r w:rsidRPr="005C1A53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uk-UA"/>
        </w:rPr>
        <w:t>безготівкові розрахунки</w:t>
      </w:r>
      <w:r w:rsidRPr="005C1A53">
        <w:rPr>
          <w:rFonts w:ascii="Arial" w:hAnsi="Arial" w:cs="Arial"/>
          <w:color w:val="000000"/>
          <w:sz w:val="22"/>
          <w:szCs w:val="22"/>
        </w:rPr>
        <w:t> </w:t>
      </w:r>
      <w:r w:rsidRPr="005C1A53">
        <w:rPr>
          <w:rFonts w:ascii="Arial" w:hAnsi="Arial" w:cs="Arial"/>
          <w:color w:val="000000"/>
          <w:sz w:val="22"/>
          <w:szCs w:val="22"/>
          <w:lang w:val="uk-UA"/>
        </w:rPr>
        <w:t xml:space="preserve">– це перерахування певної суми коштів з рахунків платників на рахунки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  <w:lang w:val="uk-UA"/>
        </w:rPr>
        <w:t>отримувачів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  <w:lang w:val="uk-UA"/>
        </w:rPr>
        <w:t xml:space="preserve"> коштів, а також перерахування банками за дорученням підприємств і фізичних осіб коштів, унесених ними готівкою в касу банку, на рахунки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  <w:lang w:val="uk-UA"/>
        </w:rPr>
        <w:t>отримувачів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  <w:lang w:val="uk-UA"/>
        </w:rPr>
        <w:t xml:space="preserve"> коштів. </w:t>
      </w:r>
      <w:proofErr w:type="spellStart"/>
      <w:proofErr w:type="gramStart"/>
      <w:r w:rsidRPr="005C1A53">
        <w:rPr>
          <w:rFonts w:ascii="Arial" w:hAnsi="Arial" w:cs="Arial"/>
          <w:color w:val="000000"/>
          <w:sz w:val="22"/>
          <w:szCs w:val="22"/>
        </w:rPr>
        <w:t>Ц</w:t>
      </w:r>
      <w:proofErr w:type="gramEnd"/>
      <w:r w:rsidRPr="005C1A53"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розрахунки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проводяться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банком на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підставі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розрахункових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документів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паперових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носіях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електронному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вигляді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>.</w:t>
      </w:r>
    </w:p>
    <w:p w:rsidR="005C1A53" w:rsidRPr="005C1A53" w:rsidRDefault="00AA05E9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proofErr w:type="spellStart"/>
      <w:proofErr w:type="gramStart"/>
      <w:r w:rsidRPr="005C1A53">
        <w:rPr>
          <w:rFonts w:ascii="Arial" w:hAnsi="Arial" w:cs="Arial"/>
          <w:color w:val="000000"/>
          <w:sz w:val="22"/>
          <w:szCs w:val="22"/>
        </w:rPr>
        <w:t>Відповідно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до п. 12 ст. 9 Закону № 265 РРО та/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ПРРО та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розрахункові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книжки не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застосовуються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місці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отримання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товарів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надання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послуг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операції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розрахунків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готівковій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здійснюються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склади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місця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зберігання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товарів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оптова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торгівля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1A53">
        <w:rPr>
          <w:rFonts w:ascii="Arial" w:hAnsi="Arial" w:cs="Arial"/>
          <w:color w:val="000000"/>
          <w:sz w:val="22"/>
          <w:szCs w:val="22"/>
        </w:rPr>
        <w:t>тощо</w:t>
      </w:r>
      <w:proofErr w:type="spellEnd"/>
      <w:r w:rsidRPr="005C1A53"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5C1A53" w:rsidRPr="005C1A53" w:rsidRDefault="005C1A53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uk-UA"/>
        </w:rPr>
        <w:t>Отже, при здійсненні розрахункових операції в готівковій та/або в безготівковій формі (із застосуванням електронних платіжних засобів, платіжних чеків, жетонів тощо) застосування РРО або ПРРО є обов’язковим.</w:t>
      </w:r>
    </w:p>
    <w:p w:rsidR="005C1A53" w:rsidRPr="005C1A53" w:rsidRDefault="005C1A53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При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здійсненні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розрахунків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безготівковій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формі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через установи банку РРО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або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ПРРО не </w:t>
      </w:r>
      <w:proofErr w:type="spellStart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застосовується</w:t>
      </w:r>
      <w:proofErr w:type="spellEnd"/>
      <w:r w:rsidRPr="005C1A53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5C1A53" w:rsidRPr="005C1A53" w:rsidRDefault="005C1A53" w:rsidP="005C1A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E3F32" w:rsidRDefault="00DE3F32"/>
    <w:sectPr w:rsidR="00DE3F32" w:rsidSect="00D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5E9"/>
    <w:rsid w:val="000D72EC"/>
    <w:rsid w:val="00554DBA"/>
    <w:rsid w:val="005C1A53"/>
    <w:rsid w:val="007738F7"/>
    <w:rsid w:val="00AA05E9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5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2021-11-18T07:49:00Z</dcterms:created>
  <dcterms:modified xsi:type="dcterms:W3CDTF">2021-11-18T08:28:00Z</dcterms:modified>
</cp:coreProperties>
</file>