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C7" w:rsidRPr="00286FC7" w:rsidRDefault="00286FC7" w:rsidP="00286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FC7">
        <w:rPr>
          <w:rFonts w:ascii="Times New Roman" w:hAnsi="Times New Roman" w:cs="Times New Roman"/>
          <w:b/>
          <w:sz w:val="28"/>
          <w:szCs w:val="28"/>
        </w:rPr>
        <w:t>Які передбачені особливості для визначення ліквідних активів для цілей одноразового (спеціального) добровільного декларування?</w:t>
      </w:r>
    </w:p>
    <w:p w:rsidR="00286FC7" w:rsidRDefault="00286FC7" w:rsidP="0028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CC6" w:rsidRDefault="00765CC6" w:rsidP="0028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CC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05350" cy="2599145"/>
            <wp:effectExtent l="0" t="0" r="0" b="0"/>
            <wp:docPr id="1" name="Рисунок 1" descr="Податкова амністія - Кому та скільки треба буде платити за легалізацію  актив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аткова амністія - Кому та скільки треба буде платити за легалізацію  активі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776" cy="260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CC6" w:rsidRDefault="00765CC6" w:rsidP="0028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FC7" w:rsidRPr="00286FC7" w:rsidRDefault="00286FC7" w:rsidP="0028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Головне управління ДПС у Харківській області повідомляє, що з</w:t>
      </w:r>
      <w:r w:rsidRPr="00286FC7">
        <w:rPr>
          <w:rFonts w:ascii="Times New Roman" w:hAnsi="Times New Roman" w:cs="Times New Roman"/>
          <w:sz w:val="28"/>
          <w:szCs w:val="28"/>
        </w:rPr>
        <w:t xml:space="preserve">гідно з </w:t>
      </w:r>
      <w:proofErr w:type="spellStart"/>
      <w:r w:rsidRPr="00286FC7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286FC7">
        <w:rPr>
          <w:rFonts w:ascii="Times New Roman" w:hAnsi="Times New Roman" w:cs="Times New Roman"/>
          <w:sz w:val="28"/>
          <w:szCs w:val="28"/>
        </w:rPr>
        <w:t xml:space="preserve">. 14.1.281 п. 14.1 ст. 14 Податкового кодексу України від 02 грудня 2010 року № 2755-VI із змінами та доповненнями (далі – ПКУ) грошові активи фізичної особи для цілей </w:t>
      </w:r>
      <w:proofErr w:type="spellStart"/>
      <w:r w:rsidRPr="00286FC7">
        <w:rPr>
          <w:rFonts w:ascii="Times New Roman" w:hAnsi="Times New Roman" w:cs="Times New Roman"/>
          <w:sz w:val="28"/>
          <w:szCs w:val="28"/>
        </w:rPr>
        <w:t>підрозд</w:t>
      </w:r>
      <w:proofErr w:type="spellEnd"/>
      <w:r w:rsidRPr="00286FC7">
        <w:rPr>
          <w:rFonts w:ascii="Times New Roman" w:hAnsi="Times New Roman" w:cs="Times New Roman"/>
          <w:sz w:val="28"/>
          <w:szCs w:val="28"/>
        </w:rPr>
        <w:t xml:space="preserve">. 9 прим 4 </w:t>
      </w:r>
      <w:proofErr w:type="spellStart"/>
      <w:r w:rsidRPr="00286FC7">
        <w:rPr>
          <w:rFonts w:ascii="Times New Roman" w:hAnsi="Times New Roman" w:cs="Times New Roman"/>
          <w:sz w:val="28"/>
          <w:szCs w:val="28"/>
        </w:rPr>
        <w:t>розд</w:t>
      </w:r>
      <w:proofErr w:type="spellEnd"/>
      <w:r w:rsidRPr="00286FC7">
        <w:rPr>
          <w:rFonts w:ascii="Times New Roman" w:hAnsi="Times New Roman" w:cs="Times New Roman"/>
          <w:sz w:val="28"/>
          <w:szCs w:val="28"/>
        </w:rPr>
        <w:t>. XX «Перехідні положення» ПКУ – це кошти в національній та іноземній валютах, розміщені на рахунках в українських та іноземних банках, грошові внески до кредитних спілок та інших небанківських фінансових установ, права грошової вимоги (у тому числі кошти, позичені третім особам за договором позики), оформлені у письмовій формі з юридичною особою або нотаріально посвідчені у разі виникнення права вимоги декларанта до фізичної особи, а також активи у банківських металах, пам’ятні банкноти та монети, електронні гроші.</w:t>
      </w:r>
    </w:p>
    <w:p w:rsidR="00286FC7" w:rsidRPr="00286FC7" w:rsidRDefault="00286FC7" w:rsidP="0028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FC7">
        <w:rPr>
          <w:rFonts w:ascii="Times New Roman" w:hAnsi="Times New Roman" w:cs="Times New Roman"/>
          <w:sz w:val="28"/>
          <w:szCs w:val="28"/>
        </w:rPr>
        <w:t>В даному випадку термін «електронні гроші» слід розглядати у визначенні, наведеному у Законі України від 05 квітня 2001 року «Про платіжні системи та переказ коштів в Україні» із змінами та доповненнями, відповідно до якого – це одиниці вартості, які зберігаються на електронному пристрої, приймаються як засіб платежу іншими особами, ніж особа, яка їх випускає, і є грошовим зобов’язанням цієї особи, що виконується в готівковій або безготівковій формі.</w:t>
      </w:r>
    </w:p>
    <w:p w:rsidR="00286FC7" w:rsidRPr="00286FC7" w:rsidRDefault="00286FC7" w:rsidP="0028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FC7">
        <w:rPr>
          <w:rFonts w:ascii="Times New Roman" w:hAnsi="Times New Roman" w:cs="Times New Roman"/>
          <w:sz w:val="28"/>
          <w:szCs w:val="28"/>
        </w:rPr>
        <w:t>При цьому, відповідно до Положення про електронні гроші в Україні, затвердженого постановою Правління Національного банку України</w:t>
      </w:r>
    </w:p>
    <w:p w:rsidR="00286FC7" w:rsidRPr="00286FC7" w:rsidRDefault="00286FC7" w:rsidP="0028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FC7">
        <w:rPr>
          <w:rFonts w:ascii="Times New Roman" w:hAnsi="Times New Roman" w:cs="Times New Roman"/>
          <w:sz w:val="28"/>
          <w:szCs w:val="28"/>
        </w:rPr>
        <w:t>від 04 листопада 2010 року № 481 із змінами та доповненнями, обіг електронних грошей регулюється відповідним положенням, затвердженим Національним банком України..</w:t>
      </w:r>
    </w:p>
    <w:p w:rsidR="00B07587" w:rsidRPr="00286FC7" w:rsidRDefault="00286FC7" w:rsidP="0028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FC7">
        <w:rPr>
          <w:rFonts w:ascii="Times New Roman" w:hAnsi="Times New Roman" w:cs="Times New Roman"/>
          <w:sz w:val="28"/>
          <w:szCs w:val="28"/>
        </w:rPr>
        <w:t xml:space="preserve">Визначення «грошові активи фізичної особи» для цілей </w:t>
      </w:r>
      <w:proofErr w:type="spellStart"/>
      <w:r w:rsidRPr="00286FC7">
        <w:rPr>
          <w:rFonts w:ascii="Times New Roman" w:hAnsi="Times New Roman" w:cs="Times New Roman"/>
          <w:sz w:val="28"/>
          <w:szCs w:val="28"/>
        </w:rPr>
        <w:t>підрозд</w:t>
      </w:r>
      <w:proofErr w:type="spellEnd"/>
      <w:r w:rsidRPr="00286FC7">
        <w:rPr>
          <w:rFonts w:ascii="Times New Roman" w:hAnsi="Times New Roman" w:cs="Times New Roman"/>
          <w:sz w:val="28"/>
          <w:szCs w:val="28"/>
        </w:rPr>
        <w:t xml:space="preserve">. 9 прим 4 </w:t>
      </w:r>
      <w:proofErr w:type="spellStart"/>
      <w:r w:rsidRPr="00286FC7">
        <w:rPr>
          <w:rFonts w:ascii="Times New Roman" w:hAnsi="Times New Roman" w:cs="Times New Roman"/>
          <w:sz w:val="28"/>
          <w:szCs w:val="28"/>
        </w:rPr>
        <w:t>розд</w:t>
      </w:r>
      <w:proofErr w:type="spellEnd"/>
      <w:r w:rsidRPr="00286FC7">
        <w:rPr>
          <w:rFonts w:ascii="Times New Roman" w:hAnsi="Times New Roman" w:cs="Times New Roman"/>
          <w:sz w:val="28"/>
          <w:szCs w:val="28"/>
        </w:rPr>
        <w:t xml:space="preserve">. XX «Перехідні положення» ПКУ не охоплює «віртуальні активи», визначення яких міститься у Законі України від 06 грудня 2019 року № 361-IX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знищення», відповідно до </w:t>
      </w:r>
      <w:proofErr w:type="spellStart"/>
      <w:r w:rsidRPr="00286FC7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286FC7">
        <w:rPr>
          <w:rFonts w:ascii="Times New Roman" w:hAnsi="Times New Roman" w:cs="Times New Roman"/>
          <w:sz w:val="28"/>
          <w:szCs w:val="28"/>
        </w:rPr>
        <w:t xml:space="preserve">. 13 п. 1 </w:t>
      </w:r>
      <w:proofErr w:type="spellStart"/>
      <w:r w:rsidRPr="00286FC7">
        <w:rPr>
          <w:rFonts w:ascii="Times New Roman" w:hAnsi="Times New Roman" w:cs="Times New Roman"/>
          <w:sz w:val="28"/>
          <w:szCs w:val="28"/>
        </w:rPr>
        <w:t>розд</w:t>
      </w:r>
      <w:proofErr w:type="spellEnd"/>
      <w:r w:rsidRPr="00286FC7">
        <w:rPr>
          <w:rFonts w:ascii="Times New Roman" w:hAnsi="Times New Roman" w:cs="Times New Roman"/>
          <w:sz w:val="28"/>
          <w:szCs w:val="28"/>
        </w:rPr>
        <w:t xml:space="preserve">. І якого, віртуальні активи – це віртуальний актив – цифрове вираження вартості, </w:t>
      </w:r>
      <w:bookmarkStart w:id="0" w:name="_GoBack"/>
      <w:bookmarkEnd w:id="0"/>
      <w:r w:rsidRPr="00286FC7">
        <w:rPr>
          <w:rFonts w:ascii="Times New Roman" w:hAnsi="Times New Roman" w:cs="Times New Roman"/>
          <w:sz w:val="28"/>
          <w:szCs w:val="28"/>
        </w:rPr>
        <w:t>яким можна торгувати у цифровому форматі або переказувати і яке може використовуватися для платіжних або інвестиційних цілей.</w:t>
      </w:r>
    </w:p>
    <w:sectPr w:rsidR="00B07587" w:rsidRPr="00286FC7" w:rsidSect="00765CC6">
      <w:pgSz w:w="11906" w:h="16838"/>
      <w:pgMar w:top="567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C7"/>
    <w:rsid w:val="00286FC7"/>
    <w:rsid w:val="00765CC6"/>
    <w:rsid w:val="00B0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1457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Communications</cp:lastModifiedBy>
  <cp:revision>3</cp:revision>
  <dcterms:created xsi:type="dcterms:W3CDTF">2021-10-13T06:13:00Z</dcterms:created>
  <dcterms:modified xsi:type="dcterms:W3CDTF">2021-10-13T07:36:00Z</dcterms:modified>
</cp:coreProperties>
</file>