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91" w:rsidRPr="00C34491" w:rsidRDefault="00C34491" w:rsidP="00C3449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r w:rsidRPr="00C344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Відбувся сеанс телефонного зв’язку «гаряча лінія» з питань застосування РРО і ПРРО</w:t>
      </w:r>
    </w:p>
    <w:p w:rsidR="00C34491" w:rsidRDefault="00C34491" w:rsidP="00C34491">
      <w:pPr>
        <w:pStyle w:val="a3"/>
        <w:jc w:val="both"/>
      </w:pPr>
      <w:r>
        <w:t xml:space="preserve">У Головному управлінні ДПС у Харківській області сьогодні відбувся сеанс телефонного  зв’язку «гаряча лінія» з питань застосування РРО і ПРРО. </w:t>
      </w:r>
    </w:p>
    <w:p w:rsidR="00C34491" w:rsidRDefault="00C34491" w:rsidP="00C34491">
      <w:pPr>
        <w:pStyle w:val="a3"/>
        <w:jc w:val="both"/>
      </w:pPr>
      <w:r>
        <w:t xml:space="preserve">На запитання відповідала фахівець відділу фактичних перевірок управління податкового аудиту ГУ ДПС у Харківській області </w:t>
      </w:r>
      <w:r>
        <w:rPr>
          <w:rStyle w:val="a4"/>
        </w:rPr>
        <w:t>Яна ЗАСЯДЬКО.</w:t>
      </w:r>
      <w:r>
        <w:t xml:space="preserve"> </w:t>
      </w:r>
    </w:p>
    <w:p w:rsidR="00C34491" w:rsidRDefault="00C34491" w:rsidP="00C34491">
      <w:pPr>
        <w:pStyle w:val="a3"/>
        <w:jc w:val="both"/>
      </w:pPr>
      <w:r>
        <w:rPr>
          <w:rStyle w:val="a4"/>
        </w:rPr>
        <w:t>Питання:</w:t>
      </w:r>
      <w:r>
        <w:t xml:space="preserve"> Чи може бути використаний РРО після 01.10.2021, якщо не може бути доопрацьований за технічними властивостями для відображення необхідних реквізитів касових </w:t>
      </w:r>
      <w:proofErr w:type="spellStart"/>
      <w:r>
        <w:t>чеків</w:t>
      </w:r>
      <w:proofErr w:type="spellEnd"/>
      <w:r>
        <w:t xml:space="preserve">? </w:t>
      </w:r>
    </w:p>
    <w:p w:rsidR="00C34491" w:rsidRDefault="00C34491" w:rsidP="00C34491">
      <w:pPr>
        <w:pStyle w:val="a3"/>
        <w:jc w:val="both"/>
      </w:pPr>
      <w:r>
        <w:rPr>
          <w:rStyle w:val="a4"/>
        </w:rPr>
        <w:t>Відповідь:</w:t>
      </w:r>
      <w:r>
        <w:t xml:space="preserve"> Виходячи з вимог Наказу № 306 та Наказу № 329, зареєстрований РРО за умови неможливості його технічного доопрацювання може бути використаний після 01.10.2021 до кінця терміну його експлуатації, встановленого законом. </w:t>
      </w:r>
    </w:p>
    <w:p w:rsidR="00C34491" w:rsidRDefault="00C34491" w:rsidP="00C34491">
      <w:pPr>
        <w:pStyle w:val="a3"/>
        <w:jc w:val="both"/>
      </w:pPr>
      <w:r>
        <w:t xml:space="preserve">Але, з метою виконання вимог законодавства пропонуємо платнику звернутися до постачальника РРО та/або сервісної організації з обслуговування РРО для підтвердження технічної можливості (або неможливості) його доопрацювання. </w:t>
      </w:r>
    </w:p>
    <w:p w:rsidR="00C34491" w:rsidRDefault="00C34491" w:rsidP="00C34491">
      <w:pPr>
        <w:pStyle w:val="a3"/>
        <w:jc w:val="both"/>
      </w:pPr>
      <w:r>
        <w:rPr>
          <w:rStyle w:val="a4"/>
        </w:rPr>
        <w:t>Питання:</w:t>
      </w:r>
      <w:r>
        <w:t xml:space="preserve"> У яких випадках фізична особа-підприємець платник єдиного податку ІІ групи повинен використовувати РРО/ПРРО при здійсненні діяльності? </w:t>
      </w:r>
    </w:p>
    <w:p w:rsidR="00C34491" w:rsidRDefault="00C34491" w:rsidP="00C34491">
      <w:pPr>
        <w:pStyle w:val="a3"/>
        <w:jc w:val="both"/>
      </w:pPr>
      <w:r>
        <w:rPr>
          <w:rStyle w:val="a4"/>
        </w:rPr>
        <w:t>Відповідь:</w:t>
      </w:r>
      <w:r>
        <w:t xml:space="preserve"> Обов’язок застосовувати РРО платником єдиного податку другої - четвертої груп виникає у разі перевищення таким платником в календарному році обсягу доходу, встановленого Кодексом, та/або здійснення визначених пунктом 61 підрозділу 10 розділу XX «Інші перехідні положення» Кодексу видів діяльності. </w:t>
      </w:r>
    </w:p>
    <w:p w:rsidR="00C34491" w:rsidRDefault="00C34491" w:rsidP="00C34491">
      <w:pPr>
        <w:pStyle w:val="a3"/>
        <w:jc w:val="both"/>
      </w:pPr>
      <w:r>
        <w:t xml:space="preserve">Водночас, здійснення розрахунків за товари, роботи послуги через: </w:t>
      </w:r>
    </w:p>
    <w:p w:rsidR="00C34491" w:rsidRDefault="00C34491" w:rsidP="00C34491">
      <w:pPr>
        <w:pStyle w:val="a3"/>
        <w:jc w:val="both"/>
      </w:pPr>
      <w:r>
        <w:t xml:space="preserve">- установу банку шляхом перерахування коштів із розрахункового рахунку на розрахунковий рахунок (IBAN, он-лайн </w:t>
      </w:r>
      <w:proofErr w:type="spellStart"/>
      <w:r>
        <w:t>банкінг</w:t>
      </w:r>
      <w:proofErr w:type="spellEnd"/>
      <w:r>
        <w:t xml:space="preserve">); </w:t>
      </w:r>
    </w:p>
    <w:p w:rsidR="00C34491" w:rsidRDefault="00C34491" w:rsidP="00C34491">
      <w:pPr>
        <w:pStyle w:val="a3"/>
        <w:jc w:val="both"/>
      </w:pPr>
      <w:r>
        <w:t xml:space="preserve">- безпосереднє внесення готівки через касу банку для подальшого перерахування на розрахунковий рахунок; </w:t>
      </w:r>
    </w:p>
    <w:p w:rsidR="00C34491" w:rsidRDefault="00C34491" w:rsidP="00C34491">
      <w:pPr>
        <w:pStyle w:val="a3"/>
        <w:jc w:val="both"/>
      </w:pPr>
      <w:r>
        <w:t xml:space="preserve">- платіжний термінал та/або ПТКС, який належить банку, </w:t>
      </w:r>
    </w:p>
    <w:p w:rsidR="00C34491" w:rsidRDefault="00C34491" w:rsidP="00C34491">
      <w:pPr>
        <w:pStyle w:val="a3"/>
        <w:jc w:val="both"/>
      </w:pPr>
      <w:r>
        <w:t xml:space="preserve">не відноситься до розрахункових операцій у розумінні Закону № 265 та не потребує застосування РРО/ПРРО. </w:t>
      </w:r>
    </w:p>
    <w:p w:rsidR="009B58F7" w:rsidRDefault="009B58F7">
      <w:bookmarkStart w:id="0" w:name="_GoBack"/>
      <w:bookmarkEnd w:id="0"/>
    </w:p>
    <w:sectPr w:rsidR="009B58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91"/>
    <w:rsid w:val="002015AF"/>
    <w:rsid w:val="002C0B43"/>
    <w:rsid w:val="005F4DAC"/>
    <w:rsid w:val="00991166"/>
    <w:rsid w:val="009B58F7"/>
    <w:rsid w:val="00B71E3F"/>
    <w:rsid w:val="00C34491"/>
    <w:rsid w:val="00C45123"/>
    <w:rsid w:val="00DD396E"/>
    <w:rsid w:val="00F2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44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49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C3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344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44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49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C3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344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1210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 ТЕТЯНА ІВАНІВНА</dc:creator>
  <cp:lastModifiedBy>ПАВЛЮК ТЕТЯНА ІВАНІВНА</cp:lastModifiedBy>
  <cp:revision>1</cp:revision>
  <dcterms:created xsi:type="dcterms:W3CDTF">2021-09-15T11:27:00Z</dcterms:created>
  <dcterms:modified xsi:type="dcterms:W3CDTF">2021-09-15T11:29:00Z</dcterms:modified>
</cp:coreProperties>
</file>