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ED" w:rsidRPr="005E38ED" w:rsidRDefault="005E38ED" w:rsidP="005E3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8ED">
        <w:rPr>
          <w:rFonts w:ascii="Times New Roman" w:hAnsi="Times New Roman" w:cs="Times New Roman"/>
          <w:b/>
          <w:sz w:val="32"/>
          <w:szCs w:val="32"/>
        </w:rPr>
        <w:t>В Електронному кабінеті надано можливість інформування територіальних громад</w:t>
      </w:r>
    </w:p>
    <w:p w:rsidR="005E38ED" w:rsidRDefault="005E38ED" w:rsidP="005E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E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699591" cy="2811259"/>
            <wp:effectExtent l="0" t="0" r="6350" b="8255"/>
            <wp:docPr id="1" name="Рисунок 1" descr="Електронний кабінет АК: у Мінюсті вже завершують розробку технічного  завдання | Банкрутство та Ліквідація в Україні | Банкротство и Ликвидация в 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ктронний кабінет АК: у Мінюсті вже завершують розробку технічного  завдання | Банкрутство та Ліквідація в Україні | Банкротство и Ликвидация в  Украи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579" cy="28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 xml:space="preserve">Головне управління ДПС у </w:t>
      </w:r>
      <w:r w:rsidRPr="005E38ED">
        <w:rPr>
          <w:rFonts w:ascii="Times New Roman" w:hAnsi="Times New Roman" w:cs="Times New Roman"/>
          <w:sz w:val="28"/>
          <w:szCs w:val="28"/>
        </w:rPr>
        <w:t>Харківській області</w:t>
      </w:r>
      <w:r w:rsidRPr="005E38ED">
        <w:rPr>
          <w:rFonts w:ascii="Times New Roman" w:hAnsi="Times New Roman" w:cs="Times New Roman"/>
          <w:sz w:val="28"/>
          <w:szCs w:val="28"/>
        </w:rPr>
        <w:t xml:space="preserve"> інформує наступне.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На виконання вимог статті 12 Податкового кодексу України з 01 січня 2021 року Державною податковою службою України запроваджено електронне інформування територіальних громад через Електронний кабінет: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у розрізі джерел доходів про суми нарахованих, сплачених податків, сум податкового боргу та надмірно сплач</w:t>
      </w:r>
      <w:bookmarkStart w:id="0" w:name="_GoBack"/>
      <w:bookmarkEnd w:id="0"/>
      <w:r w:rsidRPr="005E38ED">
        <w:rPr>
          <w:rFonts w:ascii="Times New Roman" w:hAnsi="Times New Roman" w:cs="Times New Roman"/>
          <w:sz w:val="28"/>
          <w:szCs w:val="28"/>
        </w:rPr>
        <w:t>ених сум;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та на запити територіальних громад у розрізі платників податків – юридичних осіб.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Для отримання звітності посадовій (уповноваженій) особі територіальної громади необхідно здійснити лише чотири кроки: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Крок 1. Ввійти до приватної частини електронного кабінету за посиланням https://cabinet.tax.gov.ua. Після ідентифікації будуть доступними дві вкладки: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звітність у розрізі джерел доходів;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звітність у розрізі платників податків – юридичних осіб.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Крок 2. Отримувати звітність у розрізі джерел доходів щомісяця, не пізніше 10 числа місяця, станом на 1 число наростаючим підсумком спочатку року.</w:t>
      </w:r>
    </w:p>
    <w:p w:rsidR="005E38ED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Крок 3. Надати запит про отримання звітності в розрізі платників податків – юридичних осіб  за формою J1604001 та отримати квитанцію за формою 2. Датою квитанції за формою 2 є дата прийняття запиту територіальними органами ДПС до розгляду.</w:t>
      </w:r>
    </w:p>
    <w:p w:rsidR="00743999" w:rsidRPr="005E38ED" w:rsidRDefault="005E38ED" w:rsidP="005E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ED">
        <w:rPr>
          <w:rFonts w:ascii="Times New Roman" w:hAnsi="Times New Roman" w:cs="Times New Roman"/>
          <w:sz w:val="28"/>
          <w:szCs w:val="28"/>
        </w:rPr>
        <w:t>Крок 4. Отримати звітність у розрізі платників податків – юридичних осіб, яка буде доступна територіальним громадам протягом 20 робочих днів з дати прийняття запиту у вкладці «Звітність в розрізі платників податків – юридичних осіб» станом на 1 число наростаючим підсумком спочатку року.</w:t>
      </w:r>
    </w:p>
    <w:sectPr w:rsidR="00743999" w:rsidRPr="005E3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D"/>
    <w:rsid w:val="005E38ED"/>
    <w:rsid w:val="007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2021-09-21T10:24:00Z</dcterms:created>
  <dcterms:modified xsi:type="dcterms:W3CDTF">2021-09-21T10:27:00Z</dcterms:modified>
</cp:coreProperties>
</file>